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40E15" w14:textId="77777777" w:rsidR="003D23A5" w:rsidRDefault="003D23A5" w:rsidP="003D23A5">
      <w:pPr>
        <w:spacing w:after="0" w:line="240" w:lineRule="auto"/>
        <w:rPr>
          <w:rFonts w:ascii="Times New Roman" w:eastAsia="Times New Roman" w:hAnsi="Times New Roman" w:cs="Times New Roman"/>
          <w:sz w:val="40"/>
          <w:szCs w:val="40"/>
        </w:rPr>
      </w:pPr>
      <w:bookmarkStart w:id="0" w:name="_GoBack"/>
      <w:bookmarkEnd w:id="0"/>
    </w:p>
    <w:p w14:paraId="7EED2280" w14:textId="77777777" w:rsidR="003D23A5" w:rsidRPr="003D23A5" w:rsidRDefault="003D23A5" w:rsidP="003D23A5">
      <w:pPr>
        <w:spacing w:after="0" w:line="240" w:lineRule="auto"/>
        <w:jc w:val="center"/>
        <w:rPr>
          <w:rFonts w:ascii="Times New Roman" w:eastAsia="Times New Roman" w:hAnsi="Times New Roman" w:cs="Times New Roman"/>
          <w:b/>
          <w:sz w:val="40"/>
          <w:szCs w:val="40"/>
        </w:rPr>
      </w:pPr>
      <w:r w:rsidRPr="003D23A5">
        <w:rPr>
          <w:rFonts w:ascii="Times New Roman" w:eastAsia="Times New Roman" w:hAnsi="Times New Roman" w:cs="Times New Roman"/>
          <w:b/>
          <w:sz w:val="40"/>
          <w:szCs w:val="40"/>
        </w:rPr>
        <w:t>SAMPLE SYNOPSIS</w:t>
      </w:r>
      <w:r w:rsidR="00504A83">
        <w:rPr>
          <w:rFonts w:ascii="Times New Roman" w:eastAsia="Times New Roman" w:hAnsi="Times New Roman" w:cs="Times New Roman"/>
          <w:b/>
          <w:sz w:val="40"/>
          <w:szCs w:val="40"/>
        </w:rPr>
        <w:t>: QUANTITATIVE</w:t>
      </w:r>
      <w:r w:rsidRPr="003D23A5">
        <w:rPr>
          <w:rFonts w:ascii="Times New Roman" w:eastAsia="Times New Roman" w:hAnsi="Times New Roman" w:cs="Times New Roman"/>
          <w:b/>
          <w:sz w:val="40"/>
          <w:szCs w:val="40"/>
        </w:rPr>
        <w:t xml:space="preserve"> RESEARCH ARTICLE</w:t>
      </w:r>
    </w:p>
    <w:p w14:paraId="6A5197C3" w14:textId="77777777" w:rsidR="003D23A5" w:rsidRDefault="003D23A5" w:rsidP="003D23A5">
      <w:pPr>
        <w:spacing w:after="0" w:line="240" w:lineRule="auto"/>
        <w:rPr>
          <w:rFonts w:ascii="Times New Roman" w:eastAsia="Times New Roman" w:hAnsi="Times New Roman" w:cs="Times New Roman"/>
          <w:sz w:val="40"/>
          <w:szCs w:val="40"/>
        </w:rPr>
      </w:pPr>
    </w:p>
    <w:p w14:paraId="5737F911" w14:textId="77777777" w:rsidR="003D23A5" w:rsidRDefault="003D23A5" w:rsidP="003D23A5">
      <w:pPr>
        <w:spacing w:after="0" w:line="240" w:lineRule="auto"/>
        <w:rPr>
          <w:rFonts w:ascii="Times New Roman" w:eastAsia="Times New Roman" w:hAnsi="Times New Roman" w:cs="Times New Roman"/>
          <w:sz w:val="40"/>
          <w:szCs w:val="40"/>
        </w:rPr>
      </w:pPr>
    </w:p>
    <w:p w14:paraId="195AEA3A" w14:textId="77777777" w:rsidR="003D23A5" w:rsidRDefault="003D23A5" w:rsidP="003D23A5">
      <w:pPr>
        <w:spacing w:after="0" w:line="240" w:lineRule="auto"/>
        <w:rPr>
          <w:rFonts w:ascii="Times New Roman" w:eastAsia="Times New Roman" w:hAnsi="Times New Roman" w:cs="Times New Roman"/>
          <w:sz w:val="40"/>
          <w:szCs w:val="40"/>
        </w:rPr>
      </w:pPr>
    </w:p>
    <w:p w14:paraId="4FD87FDF"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b/>
          <w:sz w:val="28"/>
          <w:szCs w:val="28"/>
          <w:u w:val="single"/>
        </w:rPr>
        <w:t>Citation</w:t>
      </w:r>
      <w:r w:rsidRPr="003D23A5">
        <w:rPr>
          <w:rFonts w:ascii="Times New Roman" w:eastAsia="Times New Roman" w:hAnsi="Times New Roman" w:cs="Times New Roman"/>
          <w:sz w:val="28"/>
          <w:szCs w:val="28"/>
        </w:rPr>
        <w:t xml:space="preserve">: Guthrie, J.T., &amp; </w:t>
      </w:r>
      <w:proofErr w:type="spellStart"/>
      <w:r w:rsidRPr="003D23A5">
        <w:rPr>
          <w:rFonts w:ascii="Times New Roman" w:eastAsia="Times New Roman" w:hAnsi="Times New Roman" w:cs="Times New Roman"/>
          <w:sz w:val="28"/>
          <w:szCs w:val="28"/>
        </w:rPr>
        <w:t>Klauda</w:t>
      </w:r>
      <w:proofErr w:type="spellEnd"/>
      <w:r w:rsidRPr="003D23A5">
        <w:rPr>
          <w:rFonts w:ascii="Times New Roman" w:eastAsia="Times New Roman" w:hAnsi="Times New Roman" w:cs="Times New Roman"/>
          <w:sz w:val="28"/>
          <w:szCs w:val="28"/>
        </w:rPr>
        <w:t xml:space="preserve">, S.L. (2014). Effects of Classroom Practices on Reading Comprehension, Engagement, and Motivations for Adolescents. </w:t>
      </w:r>
      <w:r w:rsidRPr="003D23A5">
        <w:rPr>
          <w:rFonts w:ascii="Times New Roman" w:eastAsia="Times New Roman" w:hAnsi="Times New Roman" w:cs="Times New Roman"/>
          <w:i/>
          <w:sz w:val="28"/>
          <w:szCs w:val="28"/>
        </w:rPr>
        <w:t>Reading Research Quarterly</w:t>
      </w:r>
      <w:r w:rsidRPr="003D23A5">
        <w:rPr>
          <w:rFonts w:ascii="Times New Roman" w:eastAsia="Times New Roman" w:hAnsi="Times New Roman" w:cs="Times New Roman"/>
          <w:sz w:val="28"/>
          <w:szCs w:val="28"/>
        </w:rPr>
        <w:t xml:space="preserve">, 49(4), 387–416. </w:t>
      </w:r>
    </w:p>
    <w:p w14:paraId="3FAE6ED2" w14:textId="77777777" w:rsidR="003D23A5" w:rsidRPr="003D23A5" w:rsidRDefault="003D23A5" w:rsidP="003D23A5">
      <w:pPr>
        <w:spacing w:after="0" w:line="240" w:lineRule="auto"/>
        <w:rPr>
          <w:rFonts w:ascii="Times New Roman" w:eastAsia="Times New Roman" w:hAnsi="Times New Roman" w:cs="Times New Roman"/>
          <w:sz w:val="28"/>
          <w:szCs w:val="28"/>
        </w:rPr>
      </w:pPr>
    </w:p>
    <w:p w14:paraId="21DE3BD8"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b/>
          <w:sz w:val="28"/>
          <w:szCs w:val="28"/>
          <w:u w:val="single"/>
        </w:rPr>
        <w:t>Area of research</w:t>
      </w:r>
      <w:r w:rsidRPr="003D23A5">
        <w:rPr>
          <w:rFonts w:ascii="Times New Roman" w:eastAsia="Times New Roman" w:hAnsi="Times New Roman" w:cs="Times New Roman"/>
          <w:sz w:val="28"/>
          <w:szCs w:val="28"/>
        </w:rPr>
        <w:t xml:space="preserve">: Effects of classroom practices on reading </w:t>
      </w:r>
    </w:p>
    <w:p w14:paraId="65AA80DE" w14:textId="77777777" w:rsidR="003D23A5" w:rsidRPr="003D23A5" w:rsidRDefault="003D23A5" w:rsidP="003D23A5">
      <w:pPr>
        <w:spacing w:after="0" w:line="240" w:lineRule="auto"/>
        <w:rPr>
          <w:rFonts w:ascii="Times New Roman" w:eastAsia="Times New Roman" w:hAnsi="Times New Roman" w:cs="Times New Roman"/>
          <w:sz w:val="28"/>
          <w:szCs w:val="28"/>
        </w:rPr>
      </w:pPr>
    </w:p>
    <w:p w14:paraId="591EB5B7"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Purpose of Study </w:t>
      </w:r>
    </w:p>
    <w:p w14:paraId="0A2E0AFF"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The purpose of this study was to determine if Concept-Oriented Reading Instruction (CORI) would increase reading comprehension, student motivation, and student engagement when compared to traditional instructional (TI) methods. </w:t>
      </w:r>
    </w:p>
    <w:p w14:paraId="23688020" w14:textId="77777777" w:rsidR="003D23A5" w:rsidRPr="003D23A5" w:rsidRDefault="003D23A5" w:rsidP="003D23A5">
      <w:pPr>
        <w:spacing w:after="0" w:line="240" w:lineRule="auto"/>
        <w:rPr>
          <w:rFonts w:ascii="Times New Roman" w:eastAsia="Times New Roman" w:hAnsi="Times New Roman" w:cs="Times New Roman"/>
          <w:sz w:val="28"/>
          <w:szCs w:val="28"/>
        </w:rPr>
      </w:pPr>
    </w:p>
    <w:p w14:paraId="7B081AE5"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Brief summary of literature as stated in article </w:t>
      </w:r>
    </w:p>
    <w:p w14:paraId="00FCCA24"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The CORI instructional model has previously been studied in the text of science, however the researchers choose to implement this model in the area of literacy/history instruction. CORI enables readers to engage in the information text for at least 75 minutes in a 90-minute class period. In order to achieve academic literacy in this subject area, teacher planning was focused on student engagement in reading the text. Four supports for motivational-engagement were implemented including (1) competence support, (2) providing choice, (3) emphasizing importance of reading, and (4) arranging </w:t>
      </w:r>
      <w:r w:rsidRPr="003D23A5">
        <w:rPr>
          <w:rFonts w:ascii="Times New Roman" w:eastAsia="Times New Roman" w:hAnsi="Times New Roman" w:cs="Times New Roman"/>
          <w:spacing w:val="-2"/>
          <w:sz w:val="28"/>
          <w:szCs w:val="28"/>
        </w:rPr>
        <w:t>collaboration.</w:t>
      </w:r>
      <w:r w:rsidRPr="003D23A5">
        <w:rPr>
          <w:rFonts w:ascii="Times New Roman" w:eastAsia="Times New Roman" w:hAnsi="Times New Roman" w:cs="Times New Roman"/>
          <w:sz w:val="28"/>
          <w:szCs w:val="28"/>
        </w:rPr>
        <w:t xml:space="preserve"> </w:t>
      </w:r>
    </w:p>
    <w:p w14:paraId="7CE37FCC" w14:textId="77777777" w:rsidR="003D23A5" w:rsidRDefault="003D23A5" w:rsidP="003D23A5">
      <w:pPr>
        <w:spacing w:after="0" w:line="240" w:lineRule="auto"/>
        <w:rPr>
          <w:rFonts w:ascii="Times New Roman" w:eastAsia="Times New Roman" w:hAnsi="Times New Roman" w:cs="Times New Roman"/>
          <w:sz w:val="28"/>
          <w:szCs w:val="28"/>
        </w:rPr>
      </w:pPr>
    </w:p>
    <w:p w14:paraId="3EAAA235"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Experimental questions </w:t>
      </w:r>
    </w:p>
    <w:p w14:paraId="331D9C41"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The investigators wanted to answer two questions regarding the effectiveness of CORI that integrates history with literacy instruction. First, to what extent does CORI enable students to achieve competencies in reading comprehension more effectively than traditional instruction for middle school students. Secondly, they wanted to determine how motivation and engagement of middle school students was facilitated by the four CORI supports in comparison with traditional instruction. </w:t>
      </w:r>
    </w:p>
    <w:p w14:paraId="12002AA7" w14:textId="77777777" w:rsidR="003D23A5" w:rsidRDefault="003D23A5" w:rsidP="003D23A5">
      <w:pPr>
        <w:spacing w:after="0" w:line="240" w:lineRule="auto"/>
        <w:rPr>
          <w:rFonts w:ascii="Times New Roman" w:eastAsia="Times New Roman" w:hAnsi="Times New Roman" w:cs="Times New Roman"/>
          <w:sz w:val="28"/>
          <w:szCs w:val="28"/>
        </w:rPr>
      </w:pPr>
    </w:p>
    <w:p w14:paraId="2B71159F"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The researchers believed that CORI would provide higher student reading comprehension than TI and that the students’ perceived level of support would increase motivation and engagement. </w:t>
      </w:r>
    </w:p>
    <w:p w14:paraId="2C573D25" w14:textId="77777777" w:rsid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b/>
          <w:sz w:val="28"/>
          <w:szCs w:val="28"/>
          <w:u w:val="single"/>
        </w:rPr>
        <w:t>Methods used in the study</w:t>
      </w:r>
      <w:r w:rsidRPr="003D23A5">
        <w:rPr>
          <w:rFonts w:ascii="Times New Roman" w:eastAsia="Times New Roman" w:hAnsi="Times New Roman" w:cs="Times New Roman"/>
          <w:sz w:val="28"/>
          <w:szCs w:val="28"/>
        </w:rPr>
        <w:t xml:space="preserve">: </w:t>
      </w:r>
    </w:p>
    <w:p w14:paraId="29D179C0" w14:textId="77777777" w:rsidR="003D23A5" w:rsidRPr="003D23A5" w:rsidRDefault="003D23A5" w:rsidP="003D23A5">
      <w:pPr>
        <w:spacing w:after="0" w:line="240" w:lineRule="auto"/>
        <w:rPr>
          <w:rFonts w:ascii="Times New Roman" w:eastAsia="Times New Roman" w:hAnsi="Times New Roman" w:cs="Times New Roman"/>
          <w:sz w:val="28"/>
          <w:szCs w:val="28"/>
        </w:rPr>
      </w:pPr>
    </w:p>
    <w:p w14:paraId="64389543"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a. </w:t>
      </w:r>
      <w:r w:rsidRPr="003D23A5">
        <w:rPr>
          <w:rFonts w:ascii="Times New Roman" w:eastAsia="Times New Roman" w:hAnsi="Times New Roman" w:cs="Times New Roman"/>
          <w:sz w:val="28"/>
          <w:szCs w:val="28"/>
          <w:u w:val="single"/>
        </w:rPr>
        <w:t>Subjects in study</w:t>
      </w:r>
      <w:r w:rsidRPr="003D23A5">
        <w:rPr>
          <w:rFonts w:ascii="Times New Roman" w:eastAsia="Times New Roman" w:hAnsi="Times New Roman" w:cs="Times New Roman"/>
          <w:sz w:val="28"/>
          <w:szCs w:val="28"/>
        </w:rPr>
        <w:t xml:space="preserve"> </w:t>
      </w:r>
    </w:p>
    <w:p w14:paraId="69C3155C" w14:textId="77777777" w:rsid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A total of 615 seventh grade students attending four different middle schools made up the participant population for this experimentation. Some original teachers and students were excluded for several reasons; data was used from only those who completed the study measures. There were 11 instructors, all having varying levels of teaching experience. </w:t>
      </w:r>
    </w:p>
    <w:p w14:paraId="7C176B72" w14:textId="77777777" w:rsidR="003D23A5" w:rsidRPr="003D23A5" w:rsidRDefault="003D23A5" w:rsidP="003D23A5">
      <w:pPr>
        <w:spacing w:after="0" w:line="240" w:lineRule="auto"/>
        <w:rPr>
          <w:rFonts w:ascii="Times New Roman" w:eastAsia="Times New Roman" w:hAnsi="Times New Roman" w:cs="Times New Roman"/>
          <w:sz w:val="28"/>
          <w:szCs w:val="28"/>
        </w:rPr>
      </w:pPr>
    </w:p>
    <w:p w14:paraId="2981EC60"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b. </w:t>
      </w:r>
      <w:r w:rsidRPr="003D23A5">
        <w:rPr>
          <w:rFonts w:ascii="Times New Roman" w:eastAsia="Times New Roman" w:hAnsi="Times New Roman" w:cs="Times New Roman"/>
          <w:sz w:val="28"/>
          <w:szCs w:val="28"/>
          <w:u w:val="single"/>
        </w:rPr>
        <w:t>Experimental methods</w:t>
      </w:r>
      <w:r w:rsidRPr="003D23A5">
        <w:rPr>
          <w:rFonts w:ascii="Times New Roman" w:eastAsia="Times New Roman" w:hAnsi="Times New Roman" w:cs="Times New Roman"/>
          <w:sz w:val="28"/>
          <w:szCs w:val="28"/>
        </w:rPr>
        <w:t xml:space="preserve"> </w:t>
      </w:r>
    </w:p>
    <w:p w14:paraId="7855F15E"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The researchers used a switching replications experimental design to measure the effectiveness of the CORI motivational-engagement supports on reading comprehension for these participants. In this design, there is no need for random group assignment because all students are exposed to both the treatment and the control groups. CORI is the treatment and TI is the control. All biases are controlled including ability, interest, attention, comprehension, and demographic factors because each individual student’s increase in comprehension is compared under the treatment and control conditions. The students who are in the control group in phase one, become the treatment group for phase two. A self-report survey completed by the students was used to determine students’ reading motivations and engagement after participation in both CORI and TI groups. Data was collected three times during the school year</w:t>
      </w:r>
      <w:r w:rsidRPr="003D23A5">
        <w:rPr>
          <w:rFonts w:ascii="Times New Roman" w:eastAsia="Times New Roman" w:hAnsi="Times New Roman" w:cs="Times New Roman"/>
          <w:spacing w:val="14"/>
          <w:sz w:val="28"/>
          <w:szCs w:val="28"/>
        </w:rPr>
        <w:t>.</w:t>
      </w:r>
      <w:r w:rsidRPr="003D23A5">
        <w:rPr>
          <w:rFonts w:ascii="Times New Roman" w:eastAsia="Times New Roman" w:hAnsi="Times New Roman" w:cs="Times New Roman"/>
          <w:sz w:val="28"/>
          <w:szCs w:val="28"/>
        </w:rPr>
        <w:t xml:space="preserve"> </w:t>
      </w:r>
    </w:p>
    <w:p w14:paraId="1419A2D4" w14:textId="77777777" w:rsidR="003D23A5" w:rsidRDefault="003D23A5" w:rsidP="003D23A5">
      <w:pPr>
        <w:spacing w:after="0" w:line="240" w:lineRule="auto"/>
        <w:rPr>
          <w:rFonts w:ascii="Times New Roman" w:eastAsia="Times New Roman" w:hAnsi="Times New Roman" w:cs="Times New Roman"/>
          <w:sz w:val="28"/>
          <w:szCs w:val="28"/>
        </w:rPr>
      </w:pPr>
    </w:p>
    <w:p w14:paraId="36886646"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Results of the study </w:t>
      </w:r>
    </w:p>
    <w:p w14:paraId="29C85B4E"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For the first hypothesis, statistical analysis showed that when students were taught with CORI the group receiving it increased in reading comprehension, and when TI was used, reading comprehension did not change. The second hypothesis was also confirmed; the motivational and engagement supports of CORI were stronger than those in TI for increasing the students’ motivation and engagement. </w:t>
      </w:r>
    </w:p>
    <w:p w14:paraId="06638AF1" w14:textId="77777777" w:rsidR="003D23A5" w:rsidRDefault="003D23A5" w:rsidP="003D23A5">
      <w:pPr>
        <w:spacing w:after="0" w:line="240" w:lineRule="auto"/>
        <w:rPr>
          <w:rFonts w:ascii="Times New Roman" w:eastAsia="Times New Roman" w:hAnsi="Times New Roman" w:cs="Times New Roman"/>
          <w:sz w:val="28"/>
          <w:szCs w:val="28"/>
        </w:rPr>
      </w:pPr>
    </w:p>
    <w:p w14:paraId="33D5FD98"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Discussion &amp; Conclusion from authors’ perspective </w:t>
      </w:r>
    </w:p>
    <w:p w14:paraId="336E72FB"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The experimental design allows for strong inference that the use of CORI contributed to the students’ increase in reading comprehension. The researchers concluded that the instructional methods within CORI including the four supports listed above, history text, and instructional strategy are accountable for the increases in reading comprehension seen in this analysis. The variance in motivation-engagement was explained by the students’ perceptions of the supports in CORI. After the implementation of CORI, students felt more engaged and more motivated to read. </w:t>
      </w:r>
    </w:p>
    <w:p w14:paraId="2F3DDAF4" w14:textId="77777777" w:rsidR="003D23A5" w:rsidRDefault="003D23A5" w:rsidP="003D23A5">
      <w:pPr>
        <w:spacing w:after="0" w:line="240" w:lineRule="auto"/>
        <w:rPr>
          <w:rFonts w:ascii="Times New Roman" w:eastAsia="Times New Roman" w:hAnsi="Times New Roman" w:cs="Times New Roman"/>
          <w:sz w:val="28"/>
          <w:szCs w:val="28"/>
        </w:rPr>
      </w:pPr>
    </w:p>
    <w:p w14:paraId="73059F53" w14:textId="77777777" w:rsidR="003D23A5" w:rsidRDefault="003D23A5" w:rsidP="003D23A5">
      <w:pPr>
        <w:spacing w:after="0" w:line="240" w:lineRule="auto"/>
        <w:rPr>
          <w:rFonts w:ascii="Times New Roman" w:eastAsia="Times New Roman" w:hAnsi="Times New Roman" w:cs="Times New Roman"/>
          <w:sz w:val="28"/>
          <w:szCs w:val="28"/>
        </w:rPr>
      </w:pPr>
    </w:p>
    <w:p w14:paraId="39BE2771" w14:textId="77777777" w:rsidR="003D23A5" w:rsidRPr="003D23A5" w:rsidRDefault="003D23A5" w:rsidP="003D23A5">
      <w:pPr>
        <w:spacing w:after="0" w:line="240" w:lineRule="auto"/>
        <w:rPr>
          <w:rFonts w:ascii="Times New Roman" w:eastAsia="Times New Roman" w:hAnsi="Times New Roman" w:cs="Times New Roman"/>
          <w:b/>
          <w:sz w:val="28"/>
          <w:szCs w:val="28"/>
          <w:u w:val="single"/>
        </w:rPr>
      </w:pPr>
      <w:r w:rsidRPr="003D23A5">
        <w:rPr>
          <w:rFonts w:ascii="Times New Roman" w:eastAsia="Times New Roman" w:hAnsi="Times New Roman" w:cs="Times New Roman"/>
          <w:b/>
          <w:sz w:val="28"/>
          <w:szCs w:val="28"/>
          <w:u w:val="single"/>
        </w:rPr>
        <w:t xml:space="preserve">Personal reflection on what you learned from this study </w:t>
      </w:r>
    </w:p>
    <w:p w14:paraId="4EFBF04B" w14:textId="77777777" w:rsidR="003D23A5" w:rsidRPr="003D23A5" w:rsidRDefault="003D23A5" w:rsidP="003D23A5">
      <w:pPr>
        <w:spacing w:after="0" w:line="240" w:lineRule="auto"/>
        <w:rPr>
          <w:rFonts w:ascii="Times New Roman" w:eastAsia="Times New Roman" w:hAnsi="Times New Roman" w:cs="Times New Roman"/>
          <w:sz w:val="28"/>
          <w:szCs w:val="28"/>
        </w:rPr>
      </w:pPr>
      <w:r w:rsidRPr="003D23A5">
        <w:rPr>
          <w:rFonts w:ascii="Times New Roman" w:eastAsia="Times New Roman" w:hAnsi="Times New Roman" w:cs="Times New Roman"/>
          <w:sz w:val="28"/>
          <w:szCs w:val="28"/>
        </w:rPr>
        <w:t xml:space="preserve">It was great to read that continual research is done in the area of teaching methodology and that progress is made in acknowledging which methods are most effective. I hope to read more and use some of the methods noted in this research in my future classroom. I have spoken to many agriculture education teachers, and many did not participate in formal teaching education programs, leaving them without knowledge for CORI practices and many other classroom management techniques. I learned from this article that when students feel they are actively engaged in the content; they are more confident in the retention of the material to memory. </w:t>
      </w:r>
    </w:p>
    <w:p w14:paraId="323E49B5" w14:textId="77777777" w:rsidR="009471FD" w:rsidRPr="003D23A5" w:rsidRDefault="009471FD">
      <w:pPr>
        <w:rPr>
          <w:sz w:val="28"/>
          <w:szCs w:val="28"/>
        </w:rPr>
      </w:pPr>
    </w:p>
    <w:sectPr w:rsidR="009471FD" w:rsidRPr="003D2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3A5"/>
    <w:rsid w:val="003D23A5"/>
    <w:rsid w:val="00504A83"/>
    <w:rsid w:val="005B60CF"/>
    <w:rsid w:val="008724BA"/>
    <w:rsid w:val="008B19C4"/>
    <w:rsid w:val="009471FD"/>
    <w:rsid w:val="00F3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1552"/>
  <w15:chartTrackingRefBased/>
  <w15:docId w15:val="{C599323C-4274-4FE2-B4B0-DB26EE40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889974">
      <w:bodyDiv w:val="1"/>
      <w:marLeft w:val="0"/>
      <w:marRight w:val="0"/>
      <w:marTop w:val="0"/>
      <w:marBottom w:val="0"/>
      <w:divBdr>
        <w:top w:val="none" w:sz="0" w:space="0" w:color="auto"/>
        <w:left w:val="none" w:sz="0" w:space="0" w:color="auto"/>
        <w:bottom w:val="none" w:sz="0" w:space="0" w:color="auto"/>
        <w:right w:val="none" w:sz="0" w:space="0" w:color="auto"/>
      </w:divBdr>
      <w:divsChild>
        <w:div w:id="1390229330">
          <w:marLeft w:val="0"/>
          <w:marRight w:val="0"/>
          <w:marTop w:val="0"/>
          <w:marBottom w:val="0"/>
          <w:divBdr>
            <w:top w:val="none" w:sz="0" w:space="0" w:color="auto"/>
            <w:left w:val="none" w:sz="0" w:space="0" w:color="auto"/>
            <w:bottom w:val="none" w:sz="0" w:space="0" w:color="auto"/>
            <w:right w:val="none" w:sz="0" w:space="0" w:color="auto"/>
          </w:divBdr>
          <w:divsChild>
            <w:div w:id="1390684572">
              <w:marLeft w:val="0"/>
              <w:marRight w:val="0"/>
              <w:marTop w:val="0"/>
              <w:marBottom w:val="0"/>
              <w:divBdr>
                <w:top w:val="none" w:sz="0" w:space="0" w:color="auto"/>
                <w:left w:val="none" w:sz="0" w:space="0" w:color="auto"/>
                <w:bottom w:val="none" w:sz="0" w:space="0" w:color="auto"/>
                <w:right w:val="none" w:sz="0" w:space="0" w:color="auto"/>
              </w:divBdr>
              <w:divsChild>
                <w:div w:id="579214026">
                  <w:marLeft w:val="0"/>
                  <w:marRight w:val="0"/>
                  <w:marTop w:val="0"/>
                  <w:marBottom w:val="0"/>
                  <w:divBdr>
                    <w:top w:val="none" w:sz="0" w:space="0" w:color="auto"/>
                    <w:left w:val="none" w:sz="0" w:space="0" w:color="auto"/>
                    <w:bottom w:val="none" w:sz="0" w:space="0" w:color="auto"/>
                    <w:right w:val="none" w:sz="0" w:space="0" w:color="auto"/>
                  </w:divBdr>
                  <w:divsChild>
                    <w:div w:id="1559053329">
                      <w:marLeft w:val="0"/>
                      <w:marRight w:val="0"/>
                      <w:marTop w:val="0"/>
                      <w:marBottom w:val="0"/>
                      <w:divBdr>
                        <w:top w:val="none" w:sz="0" w:space="0" w:color="auto"/>
                        <w:left w:val="none" w:sz="0" w:space="0" w:color="auto"/>
                        <w:bottom w:val="none" w:sz="0" w:space="0" w:color="auto"/>
                        <w:right w:val="none" w:sz="0" w:space="0" w:color="auto"/>
                      </w:divBdr>
                    </w:div>
                    <w:div w:id="1277131664">
                      <w:marLeft w:val="0"/>
                      <w:marRight w:val="0"/>
                      <w:marTop w:val="0"/>
                      <w:marBottom w:val="0"/>
                      <w:divBdr>
                        <w:top w:val="none" w:sz="0" w:space="0" w:color="auto"/>
                        <w:left w:val="none" w:sz="0" w:space="0" w:color="auto"/>
                        <w:bottom w:val="none" w:sz="0" w:space="0" w:color="auto"/>
                        <w:right w:val="none" w:sz="0" w:space="0" w:color="auto"/>
                      </w:divBdr>
                    </w:div>
                    <w:div w:id="1747722195">
                      <w:marLeft w:val="0"/>
                      <w:marRight w:val="0"/>
                      <w:marTop w:val="0"/>
                      <w:marBottom w:val="0"/>
                      <w:divBdr>
                        <w:top w:val="none" w:sz="0" w:space="0" w:color="auto"/>
                        <w:left w:val="none" w:sz="0" w:space="0" w:color="auto"/>
                        <w:bottom w:val="none" w:sz="0" w:space="0" w:color="auto"/>
                        <w:right w:val="none" w:sz="0" w:space="0" w:color="auto"/>
                      </w:divBdr>
                    </w:div>
                    <w:div w:id="1679304271">
                      <w:marLeft w:val="0"/>
                      <w:marRight w:val="0"/>
                      <w:marTop w:val="0"/>
                      <w:marBottom w:val="0"/>
                      <w:divBdr>
                        <w:top w:val="none" w:sz="0" w:space="0" w:color="auto"/>
                        <w:left w:val="none" w:sz="0" w:space="0" w:color="auto"/>
                        <w:bottom w:val="none" w:sz="0" w:space="0" w:color="auto"/>
                        <w:right w:val="none" w:sz="0" w:space="0" w:color="auto"/>
                      </w:divBdr>
                    </w:div>
                    <w:div w:id="1155992485">
                      <w:marLeft w:val="0"/>
                      <w:marRight w:val="0"/>
                      <w:marTop w:val="0"/>
                      <w:marBottom w:val="0"/>
                      <w:divBdr>
                        <w:top w:val="none" w:sz="0" w:space="0" w:color="auto"/>
                        <w:left w:val="none" w:sz="0" w:space="0" w:color="auto"/>
                        <w:bottom w:val="none" w:sz="0" w:space="0" w:color="auto"/>
                        <w:right w:val="none" w:sz="0" w:space="0" w:color="auto"/>
                      </w:divBdr>
                    </w:div>
                    <w:div w:id="1100180862">
                      <w:marLeft w:val="0"/>
                      <w:marRight w:val="0"/>
                      <w:marTop w:val="0"/>
                      <w:marBottom w:val="0"/>
                      <w:divBdr>
                        <w:top w:val="none" w:sz="0" w:space="0" w:color="auto"/>
                        <w:left w:val="none" w:sz="0" w:space="0" w:color="auto"/>
                        <w:bottom w:val="none" w:sz="0" w:space="0" w:color="auto"/>
                        <w:right w:val="none" w:sz="0" w:space="0" w:color="auto"/>
                      </w:divBdr>
                    </w:div>
                    <w:div w:id="517038453">
                      <w:marLeft w:val="0"/>
                      <w:marRight w:val="0"/>
                      <w:marTop w:val="0"/>
                      <w:marBottom w:val="0"/>
                      <w:divBdr>
                        <w:top w:val="none" w:sz="0" w:space="0" w:color="auto"/>
                        <w:left w:val="none" w:sz="0" w:space="0" w:color="auto"/>
                        <w:bottom w:val="none" w:sz="0" w:space="0" w:color="auto"/>
                        <w:right w:val="none" w:sz="0" w:space="0" w:color="auto"/>
                      </w:divBdr>
                    </w:div>
                    <w:div w:id="1681085486">
                      <w:marLeft w:val="0"/>
                      <w:marRight w:val="0"/>
                      <w:marTop w:val="0"/>
                      <w:marBottom w:val="0"/>
                      <w:divBdr>
                        <w:top w:val="none" w:sz="0" w:space="0" w:color="auto"/>
                        <w:left w:val="none" w:sz="0" w:space="0" w:color="auto"/>
                        <w:bottom w:val="none" w:sz="0" w:space="0" w:color="auto"/>
                        <w:right w:val="none" w:sz="0" w:space="0" w:color="auto"/>
                      </w:divBdr>
                    </w:div>
                    <w:div w:id="370571594">
                      <w:marLeft w:val="0"/>
                      <w:marRight w:val="0"/>
                      <w:marTop w:val="0"/>
                      <w:marBottom w:val="0"/>
                      <w:divBdr>
                        <w:top w:val="none" w:sz="0" w:space="0" w:color="auto"/>
                        <w:left w:val="none" w:sz="0" w:space="0" w:color="auto"/>
                        <w:bottom w:val="none" w:sz="0" w:space="0" w:color="auto"/>
                        <w:right w:val="none" w:sz="0" w:space="0" w:color="auto"/>
                      </w:divBdr>
                    </w:div>
                    <w:div w:id="1253512802">
                      <w:marLeft w:val="0"/>
                      <w:marRight w:val="0"/>
                      <w:marTop w:val="0"/>
                      <w:marBottom w:val="0"/>
                      <w:divBdr>
                        <w:top w:val="none" w:sz="0" w:space="0" w:color="auto"/>
                        <w:left w:val="none" w:sz="0" w:space="0" w:color="auto"/>
                        <w:bottom w:val="none" w:sz="0" w:space="0" w:color="auto"/>
                        <w:right w:val="none" w:sz="0" w:space="0" w:color="auto"/>
                      </w:divBdr>
                    </w:div>
                    <w:div w:id="1285426423">
                      <w:marLeft w:val="0"/>
                      <w:marRight w:val="0"/>
                      <w:marTop w:val="0"/>
                      <w:marBottom w:val="0"/>
                      <w:divBdr>
                        <w:top w:val="none" w:sz="0" w:space="0" w:color="auto"/>
                        <w:left w:val="none" w:sz="0" w:space="0" w:color="auto"/>
                        <w:bottom w:val="none" w:sz="0" w:space="0" w:color="auto"/>
                        <w:right w:val="none" w:sz="0" w:space="0" w:color="auto"/>
                      </w:divBdr>
                    </w:div>
                    <w:div w:id="2079016452">
                      <w:marLeft w:val="0"/>
                      <w:marRight w:val="0"/>
                      <w:marTop w:val="0"/>
                      <w:marBottom w:val="0"/>
                      <w:divBdr>
                        <w:top w:val="none" w:sz="0" w:space="0" w:color="auto"/>
                        <w:left w:val="none" w:sz="0" w:space="0" w:color="auto"/>
                        <w:bottom w:val="none" w:sz="0" w:space="0" w:color="auto"/>
                        <w:right w:val="none" w:sz="0" w:space="0" w:color="auto"/>
                      </w:divBdr>
                    </w:div>
                    <w:div w:id="667099487">
                      <w:marLeft w:val="0"/>
                      <w:marRight w:val="0"/>
                      <w:marTop w:val="0"/>
                      <w:marBottom w:val="0"/>
                      <w:divBdr>
                        <w:top w:val="none" w:sz="0" w:space="0" w:color="auto"/>
                        <w:left w:val="none" w:sz="0" w:space="0" w:color="auto"/>
                        <w:bottom w:val="none" w:sz="0" w:space="0" w:color="auto"/>
                        <w:right w:val="none" w:sz="0" w:space="0" w:color="auto"/>
                      </w:divBdr>
                    </w:div>
                    <w:div w:id="101446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130140">
          <w:marLeft w:val="0"/>
          <w:marRight w:val="0"/>
          <w:marTop w:val="0"/>
          <w:marBottom w:val="0"/>
          <w:divBdr>
            <w:top w:val="none" w:sz="0" w:space="0" w:color="auto"/>
            <w:left w:val="none" w:sz="0" w:space="0" w:color="auto"/>
            <w:bottom w:val="none" w:sz="0" w:space="0" w:color="auto"/>
            <w:right w:val="none" w:sz="0" w:space="0" w:color="auto"/>
          </w:divBdr>
          <w:divsChild>
            <w:div w:id="1595282504">
              <w:marLeft w:val="0"/>
              <w:marRight w:val="0"/>
              <w:marTop w:val="0"/>
              <w:marBottom w:val="0"/>
              <w:divBdr>
                <w:top w:val="none" w:sz="0" w:space="0" w:color="auto"/>
                <w:left w:val="none" w:sz="0" w:space="0" w:color="auto"/>
                <w:bottom w:val="none" w:sz="0" w:space="0" w:color="auto"/>
                <w:right w:val="none" w:sz="0" w:space="0" w:color="auto"/>
              </w:divBdr>
            </w:div>
            <w:div w:id="340359784">
              <w:marLeft w:val="0"/>
              <w:marRight w:val="0"/>
              <w:marTop w:val="0"/>
              <w:marBottom w:val="0"/>
              <w:divBdr>
                <w:top w:val="none" w:sz="0" w:space="0" w:color="auto"/>
                <w:left w:val="none" w:sz="0" w:space="0" w:color="auto"/>
                <w:bottom w:val="none" w:sz="0" w:space="0" w:color="auto"/>
                <w:right w:val="none" w:sz="0" w:space="0" w:color="auto"/>
              </w:divBdr>
            </w:div>
            <w:div w:id="363797501">
              <w:marLeft w:val="0"/>
              <w:marRight w:val="0"/>
              <w:marTop w:val="0"/>
              <w:marBottom w:val="0"/>
              <w:divBdr>
                <w:top w:val="none" w:sz="0" w:space="0" w:color="auto"/>
                <w:left w:val="none" w:sz="0" w:space="0" w:color="auto"/>
                <w:bottom w:val="none" w:sz="0" w:space="0" w:color="auto"/>
                <w:right w:val="none" w:sz="0" w:space="0" w:color="auto"/>
              </w:divBdr>
            </w:div>
            <w:div w:id="996149378">
              <w:marLeft w:val="0"/>
              <w:marRight w:val="0"/>
              <w:marTop w:val="0"/>
              <w:marBottom w:val="0"/>
              <w:divBdr>
                <w:top w:val="none" w:sz="0" w:space="0" w:color="auto"/>
                <w:left w:val="none" w:sz="0" w:space="0" w:color="auto"/>
                <w:bottom w:val="none" w:sz="0" w:space="0" w:color="auto"/>
                <w:right w:val="none" w:sz="0" w:space="0" w:color="auto"/>
              </w:divBdr>
            </w:div>
            <w:div w:id="1739785283">
              <w:marLeft w:val="0"/>
              <w:marRight w:val="0"/>
              <w:marTop w:val="0"/>
              <w:marBottom w:val="0"/>
              <w:divBdr>
                <w:top w:val="none" w:sz="0" w:space="0" w:color="auto"/>
                <w:left w:val="none" w:sz="0" w:space="0" w:color="auto"/>
                <w:bottom w:val="none" w:sz="0" w:space="0" w:color="auto"/>
                <w:right w:val="none" w:sz="0" w:space="0" w:color="auto"/>
              </w:divBdr>
            </w:div>
            <w:div w:id="2121605385">
              <w:marLeft w:val="0"/>
              <w:marRight w:val="0"/>
              <w:marTop w:val="0"/>
              <w:marBottom w:val="0"/>
              <w:divBdr>
                <w:top w:val="none" w:sz="0" w:space="0" w:color="auto"/>
                <w:left w:val="none" w:sz="0" w:space="0" w:color="auto"/>
                <w:bottom w:val="none" w:sz="0" w:space="0" w:color="auto"/>
                <w:right w:val="none" w:sz="0" w:space="0" w:color="auto"/>
              </w:divBdr>
            </w:div>
            <w:div w:id="18879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745</Words>
  <Characters>4248</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Lombardino,Linda J</dc:creator>
  <cp:keywords/>
  <dc:description/>
  <cp:lastModifiedBy>Pombrio,Bailey</cp:lastModifiedBy>
  <cp:revision>2</cp:revision>
  <dcterms:created xsi:type="dcterms:W3CDTF">2018-12-05T20:45:00Z</dcterms:created>
  <dcterms:modified xsi:type="dcterms:W3CDTF">2018-12-05T20:45:00Z</dcterms:modified>
</cp:coreProperties>
</file>